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developing innovative SaaS solutions, specializing in behavioral health Practice Management and EHR systems. Proven track record of utilizing cutting-edge technologies and frameworks to enhance application performance and user experience. Looking to leverage extensive expertise in healthcare technology to contribute to TherapyNotes' mission of revolutionizing behavioral health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C#,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NewRelic,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Windows Azure DevOps,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behavioral health, resulting in a 30% increase in user satisfaction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back-end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performance while ensuring compliance with healthcare data regulations like HIPAA.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mobile applications and the cloud, reducing response time by 25% compared to previous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monitoring and performance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issue resolution and overall system reliability improvement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large-scale data processing tasks, effectively reducing query time by 50%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minimizing downtime for critical applications in behavioral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 engagement and reduced drop-off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and ensured rigorous testing through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cloud-based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resulting in a cost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rituals and facilitated Scrum meetings to drive efficient project progress, leading to timely delivery of key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telehealth capabilities leveraging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real-time communications, broadening service offerings for clients and enhancing care delivery during the pandemic.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environments for development and production while minimizing configuration drift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technical specifications, ensuring alignment with the company's healthcare-focused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automated reporting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healthcare analytics, which enabled timely insights for the clients and improved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scalable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computing, significantly reducing the infrastructure cost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and mobile applications, ensuring compliance with cybersecurity guidelines and improving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sprint planning that facilitated transparency and accountability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performance by refactoring codebase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.NET framework applications, leading to a 35%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unstructured data, enabling the application to manage diverse datasets typical in healthcare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ensure seamless integration of data sources and APIs, leading to a unified architecture that improved data accessibility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clients on utilizing software features effectively, resulting in increased adoption and improved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reporting processes, reducing report generation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client-based projects by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functionalities,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database scalability and backup processes were in place to protect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reviewing and optimizing application security measures, successfully passing third-party security audits and maintaining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establish coding standards and design patterns, resulting in improved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scripts for automatic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deployment timeline and minimizing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performance bottlenecks through code profiling and optimization techniques, achieving a 30%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guide documentation and technical specifications for deployed solutions, facilitating easier handovers and better client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