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building scalable software solutions, leveraging a strong foundation in backend and frontend technologies. Demonstrated success in implementing cutting-edge technology stacks and driving efficiency in project execution across various domains, including healthcare and finance. Proven ability to integrate cross-functional teams, optimizing development processes and enhancing product quality through rigorous testing and innovative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times through optimized caching strategies and efficient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processes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scalability, aligning with best practices in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CI/CD pipelines, achieving a 50% reduction in deployment times and increasing the frequency of releases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98% test coverage across applications and decreasing bug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new technologies, resulting in a more skilled and effective team, and promoted knowledge 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application that leverages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to enhance code quality and adherence to architectural standards,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Agile methodologies, improving project delivery times by 35% through iterative development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security practices and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protecting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conceptualize and develop user-centric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usability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code refactoring and optimizations on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software systems, ensuring clarity and accessibility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projects ahead of schedule by effectively managing development timelines and team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 APIs for integration with third-party services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facilitating better collaboration with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sharing insights on improved coding practices and helping to maintain high-quality standards across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speed by 30% through efficient query design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project scope and deliver features that increased user engagement by 15%, making use of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libraries to ensure code quality and reliability, contributing to a more robust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optimization sessions for various applications, resulting in significant user experience improvements and lowered server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client software issues under the guidance of senior engineers,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pinpoint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lifecycle from requirements gathering to deployment,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daily stand-ups to ensure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QA of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contributing to enhancements that improved client satisfaction scores.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