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valuable experience in building high-performing, scalable web applications in fast-paced environments. Adept at employing modern technologies and methodologies, ensuring the delivery of quality solutions that fulfill client needs. Strong expertise in delivering end-to-end project lifecycle, collaborating with cross-functional teams to uncover innovative solutions, while maintaining a strong focus on performance and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Azure DevOps,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by 40% in a cloud-native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and interactive user interface that improved usability scores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time by 50% and minimizing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alignment on project goals and deliverables, significantly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exchange between systems and improving data retrieval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maintainability across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allowing for reproducible and reliable environments in various stages of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observability by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monitoring and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optimization techniques for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continuous integration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build success rate among teams while decreasing feedback loops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options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data-driven solutions for reporting and analytics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better insights and decision-making capabilities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standards, best practices, and modern frameworks, fostering a culture of learning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clarify project scopes, ensuring solutions met business objectives while adhering to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responsiveness and enhancing user engagement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payment gateways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seamless online transactions for ecommerce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efforts, optimizing legacy code and achieving a significant reduction in technical debt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containerization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deployment, streamlining application updates and providing consistency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alerting systems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proactive performance tuning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enhanced application UI/UX based on user feedback, leading to a 40% increase in user satisfaction based on surveys/testing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iterative development cycles that led to enhanced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refine user stories and acceptance criteria, ensuring clarity and focus in team outputs.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number of post-deployment defects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and conducted training sessions for end-users, ensuring smooth transitions during project completions and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Assessed and enhanced application security by implementing best practices and regularly conducting security audits on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wireframes and user requirements into maintainable code,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aimed at identifying areas for service improvement, helping to drive forward-thinking solutions and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maintenance and identified opportunities for modernization across various clients' tech stacks.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