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in designing scalable architectures and implementing cutting-edge solutions for various industries. Proficient in multiple programming languages and frameworks and adept at leading projects that focus on improving user experience and optimizing performance. Seeking to leverage expertise in cloud technologies, agile methodologies, and collaborative development environments to drive innovation and enhance productivity in a dynamic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Go,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Travis CI,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 GraphQL, Microservices, Blockchain,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40% increase in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responsive web applications, enhancing user engagement by 30% through improved UX/UI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deployment efforts by 50% and ensuring seamless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services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that supported thousands of users concurrently.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optimizing data fetching and improving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Significantly refactored legacy codebases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maintainability, achieving a 60% reduction in tech debt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from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performance and reducing load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third-party services into existing apps, employing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and enhancing overall product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best practices for programming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and learning-focused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modeling strategies for applications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catering to high-volume data needs with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cloud-native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20% cost savings while maintaining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driving continuous improvement practices that enhanced team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ML algorithms to introduce predictive features in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like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developed features, ensuring seamless knowledge transfer and onboarding of new personnel.</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50% reduction in customer complaint resolution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scalability and reliability while meeting SLA requirements for business-critical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teams to prioritize features and ensure technical feasibility within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 increasing feature delivery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RESTful services to create responsive client-side applications that adapted well to changing user needs and preferences.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for applications, including OWASP compliance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reducing system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services through extensive refactoring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performance and resource utilization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code coverage and reduced bug count pre-release.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by applying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visual aesthetics and overall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authentication processes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workshops to educate team members on cloud best practices within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innovative team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proof of concepts for new product features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strategic initiatives that expanded business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improve code quality and adherence to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external vendors for third-party APIs integration, ensuring compliance with service level agreements and successful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Agile methodologies, enhancing team collaboration and project delivery timeline adherence.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cloud-native services, ensuring minimal disruption and maintaining service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Assessed technology stacks during client engagements, aligning solutions with project goals and stakeholder visions.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