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extensive experience in developing innovative AI solutions tailored for healthcare environments. Possesses a robust background in software engineering principles, with a focus on implementing automated systems that enhance operational efficiency and accuracy. Demonstrated ability to work collaboratively in cross-functional teams, driving projects from conception through deployment while adhering to best practices in coding and architectural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Redis, GraphQL,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and implemented a state-of-the-art automated patient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efficiency by 30% in healthcare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multi-tenant microservices for the healthcare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machine learning algorithms for predictive analytics on patient data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reduce misdiagnoses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a CI/CD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health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electronic health record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production bugs through improved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improving response times for the user interface by 50% in high-load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facilitate iterating on the product based on user feedback, ensuring the solution met healthcare provider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design discussions to align the tech stack with organizational goals, emphasizing the importance of modularity and reusability in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gateways and security layers to protect sensitive patient data while complying with HIPAA regulations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web services to support mobile applications used in remote patient monitoring,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development of an in-house documentation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internal communication of project requirements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bi-weekly architecture reviews to stakeholders, clarifying technical strategies while aligning with healthcare providers’ objectives to enhance user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microservices development and cloud architecture,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crucial for real-time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 for education and e-health prioritizing user-centered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algorithms for optimization of scheduling and resource allocation in various IT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in a time-sensitive e-health management system resulting in zero critical failures during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streamline project workflows across teams in delivering high-quality IT solutions in education and healthcare.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ensured adherence to best coding practices for a multi-client health application with a focus 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API integrations for external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functionality in e-health management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non-technical stakeholders to gather requirements and translate them into technical specifications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for database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minimizing downtime and maintaining data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security features for single sign-on (SSO)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UI components for client-facing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 strategies including unit, integration, and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user behavior tracking for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user-driven applications while preserving efficient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planning, contributing to improved team visibility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sessions, aligning development priorities with user needs to drive application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software solutions to ensure maintainability and scalability of applications developed.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