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experience designing and implementing scalable software solutions. Proficient in full-stack development, cloud computing, and microservices architecture with a strong focus on achieving business goals through the effective application of technology. Proven ability to lead cross-functional teams in high-pressure environments and deliver projects within tight deadlines.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RSpec,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integrated seamlessly with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ensuring rapid,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cloud architects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release time by streamlining the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ensure adherence to coding standards and best practices among junior engineers, enhancing team skills and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significant 25% improvement in application performance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robust security measures were in place, including OAuth2 and JWT for secure token-based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allowing client applications to request only necessary data, leading to reduced payload sizes and increased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including sprint planning and retrospectives, to promote team transparency and optimize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caching strategies, reducing database load and improving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a high code coverage of 98%.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architecture design sessions to evaluate new technologies and develop future proof strategies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container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full-stack development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high-performance applications that improved client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applications to microservices architecture, resulting in a 60% increase in system agility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specifically tailored for financial services, leading to a significant increase in client transaction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integration of external payment APIs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security in processing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full lifecycle development of customer-facing applications ensuring robust UX/UI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and reduced overhead through effective database management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builds and deployments, reducing erroneous deployments and increasing overall deployment frequency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refine product vision, focusing on community feedback and iterative design principles 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tools, fostering a culture of continuous integration and delivery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version control in collaborative development environments, promoting code integrity and collaborative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scalability for corporate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implementing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ensuring user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optimized system performance through rigorous testing and debugging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JUnit frameworks for automated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design and maintain applications focused on healthcare solutions, ensuring that system architecture aligns with compliance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projects with a focus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infrastructure, supporting application flexibility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following Object-Oriented Programming principles,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relevant programming languages as per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to gather feedback and improve product deliverables, including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and conducted knowledge transfer sessions to ensure smooth transitions and project handovers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