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designing, delivering, and leading technology solutions that drive product strategy and enhance operational efficiency. Proven track record in developing infrastructure platforms utilizing a range of modern technologies and methodologies, including Agile, CI/CD, and cloud services, while fostering collaboration among cross-functional teams to achieve ambitious product roadmaps and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Graph Databases, Microservices,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SAST, Security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multi-tenant cloud-based infrastructure operations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reliability and scalability of applications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allocation and improving uptime of services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and data models that adhere to industry best practices, including RESTful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resulting in enhanced usability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multi-sprint initiative to improve system resilience, defining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Level Indicators (SLIs)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Level Objectives (SLOs)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25% increase in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continuous integration processes and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and mid-level engineers, conducted regular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fostered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strong partnerships with the Product Owner to refine requirements and prioritize a feature backlog that aligns with customer needs and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overall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and facilitated workshops for onboarding new team members, focusing on best practices in software development lifecycle processes and tooling.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bringing automation to resource provisioning and configuration management, resulting in faster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assessed and refined software development lifecycle practices, contributing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strategies and effective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retrieval, optimizing performance for client applications and reducing the number of API requests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risk analysis and provided regular status updates to non-technical stakeholders, translating complex technical information into understandable terms.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efforts with IT, operations, and compliance teams, ensuring successful project delivery aligned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with a keen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and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driving sprint planning and retrospectives to optimize team efficiency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database solution, improving data retrieval efficiency by 15% through optimized queries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systems using AWS CloudWatch, proactively managing system availability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cybersecurity teams to establish secure coding practices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resulting in reduced vulnerabilities in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development of microservices that reduced application downtime and improved scalability,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assess technical risk and promote high-quality coding standards, fostering a culture of technical excellence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API services, simplifying integration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through effective regression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gather requirements and translate them into technical specifications, leading to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within teams to promote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purposes, enhancing application response times and improving user satisfaction by optimizing database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