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developing scalable web applications and RESTful APIs using modern technologies. Proven track record in optimizing performance, implementing security protocols, and enhancing user experience in high-demand environments. Adept at collaborating with cross-functional teams to deliver innovative solutions and drive business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Ruby on Rails,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WebSockets,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Bitbucket,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New Relic, Sentry, Grafana,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 CSS, GraphQL,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best practices for component reusability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secure data transactions and efficient data retrieval while implementing proper endpoint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by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static asset management, leading to a 40%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 in the migration of legacy systems to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manual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stability and reliability across multiple releases and contributing to a 15% reduction in bug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user metrics, aiding in proactive issue resolution and enhancement of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a responsive UI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authentication protocols such as OAuth2 and JWT for user sessions,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to define technical requirements and specifications using Agile methodology,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align with modern architectural standards, improving maintainability and reducing code review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design discussions, promoting a culture of knowledge sharing and technical excellence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optimization strategies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35% reduction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 API development, fostering skill growth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clean architecture and RESTful service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asynchronous communication in applications by implementing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real-time user interactions and notifications.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an enterprise application from traditional architecture to cloud-native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resulting in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data in non-relational contexts, ensuring efficient retrieval and storage mechanisms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provided insights to improve the development process, enhancing team productivity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enhance application interfaces by integrating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libraries that accelerated development speed on common functionalities across multiple projects, promoting code reuse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troubleshooting and debugging sessions using tools like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reliability and user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comprehensive API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secure customer transactions and data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efficient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collaborated through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coordination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define project requirements, delivering tailored software solutions that met their specific needs and improved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and conducted peer code reviews to maintain code quality and coverage, ensuring a robust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applications to production environments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seamless infrastructure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regular sprint planning and retrospective meetings, promoting continuous improvement of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