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building robust and scalable applications using a diverse tech stack including frameworks and tools such as React, Node.js, and AWS. Proven expertise in leading cross-functional teams and delivering high-quality software solutions in dynamic environments. Adept at collaborating with stakeholders to define features and functionality according to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MVC, MVVM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event-driven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set up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enhanced functionality, including payment processing and user authentication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expedited deployment of cloud resources and achieving cost savings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implementation of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architecture facilitating independent deployability and scaling based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assessments and implemented best practices for data protection and compliance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software design patterns and architectural best practices to enhance team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automation, reducing manual entry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for a robust client-facing application, enhancing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implement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set up multi-branch workflows for more streamlined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 monolithic application to a microservices-based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to allow seamless querying of data for frontend applications, leading to reduced data request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database instances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backend services resulting in a significant reduction in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comprehensive documentation for system architecture and APIs to promote knowledge sharing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refine and improve the user interface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positive feedback from stakeholders for usability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embed security protocols in software applications to strengthen application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application development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best practices, leading to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unit and integration testing for multiple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migrations and schema updates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backend systems by profiling and identifying bottlenecks to enhance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retrospective meetings to assess performance and strategize continual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