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in IT consulting, specializing in innovative solutions using modern technologies. Proficient in leading development teams and enhancing systems by implementing best practices in software development. Eager to leverage expertise in full stack development and cloud technologies to drive projects in a dynamic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Services,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scikit-learn, Pandas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deployment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6 developers in creating an enterprise-level SaaS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performance metrics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 which reduced release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high-performance databases ensuring data integrity and optimized query performance for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and GraphQL APIs to facilitate integrations with third-party services, improving data exchange efficiency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legacy applications by refactoring codebases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maintainability and reduced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specifications, delivering tailored solutions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meet specific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protocols and unit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compliance with industry standards, significantly reducing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and logging systems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proactive system management and performance tuning.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development processes through effective use of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clear communication across all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development workflows by introducing version control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collaboration and reducing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data visualizations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client presentation of key metrics, building trust through transparency and insight.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adoption of machine learning techniques such as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analytics, resulting in actionable insights for decision-making.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new features for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and reducing load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implement responsive web design principles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accessibility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migration initiatives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resulting in a reduction of hosting costs by 20% through efficient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SQL database tuning and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performance and reduce query execution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contributing to improved deployment consistency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manage project progress and facilitate team collaborations, reducing merge conflicts.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production issues using logging frameworks and monitoring tools, maintaining high system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meetings to discuss sprint progress and roadblocks, promoting transparency in the software development lifecycle.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middleware services by developing back-end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robustness of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backlog grooming and sprint planning, ensuring alignment with business priorities and effective resource allocation.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testing to verify functionality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reliability has been maintained throughout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for new technologies such as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team capabilities in API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tasks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compliance and optimization for performance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DevOps practices and infrastructure as code (IaC) strategies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deployment processes by automating infrastructure provisioning.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refactoring of monolithic applications into service-oriented architectures, enhancing performance and scalability through proper use of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stakeholders to gather and define requirements for new application features, ensuring alignment with user needs and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