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Motivated Senior Software Engineer with extensive experience in building scalable, high-performance systems, specializing in state-of-the-art generative models and MLOps. Proven expertise in designing end-to-end lifecycle solutions on high-performance computing architecture and delivering production-grade machine learning systems. Adept at mentoring junior engineers and collaborating effectively with cross-functional teams to enhance product features.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CUDA, C++, Rust,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PyTorch, Lightning, JAX, MaxDiffusion, Tensorflow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GB200-class hardware, Triton, TVM, NVIDIA TensorRT, Memory-mapped I/O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Deep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Deep Learning, MLOps, Stable Diffusion, Generative Models, Model Fine-Tuning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CI/CD Pipelines, Unit Testing, Performance Tuning, Cross-Functional Leadership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Preparation, Orchestration, Model Deployment, GIT, Docker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for end-to-end lifecycles of diffusion-based generative models, enabling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high throughput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cutting-edge NVIDIA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GB200-class hardware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fine-tuned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Stable Diffusion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advanced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MLOps practices in building and deploying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tailored training workloads to exploit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NVIDIA’s unified HBM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NVLink-C2C, enhancing inference speed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comprising product and design to bring domain-specific image and video generation features into production with high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deep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 training and deployment, fostering skill development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Profiled and optimized kernels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Triton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TVM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significant reductions in latency and improvements in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engineering tasks, tuning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CUDA graphs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maximize throughput in real-time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for Machine Learning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test-covered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codebases focusing on data preparation and training orchestration to ensure reliability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detail feature specifications, integrating user feedback into the development process for improved end-user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established best practices for model evaluation and fine-tuning, creating documentation that enhanced team efficiencies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presentations on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sharing insights and strategies with engineering teams to synchronize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MLOps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build, test and cascade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from experimentation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microservices architecture to enhance client satisfaction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system architectures, improving communication between various services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data retrieval times by 40% through effective indexing and query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redesign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legacy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modern infrastructures, ensuring a 50% increase in performance through systematic restructuring and coding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deploy applications seamlessly across different environments, facilitating a more flexible CI/CD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code coverage and reliability of service endpoints.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strategies that ensured the integrity of over a million records during system upgrades and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cross-team input on product improvements, providing technical insights that shaped the final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security-focused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authentication protocols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user role management systems to enhance application security and data integrity within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scalability and high availability of services while reducing operating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to a microservices architecture, significantly enhancing the backend capabilities of a major client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clear and concise guidelines for external developers, leading to quicker onboarding and reduced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implement performance benchmarks, analyzing results to inform the ongoing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highly interactive user interfaces that improved user engagement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tests, achieving an 85% code coverage rate which translated into higher confidence during deployments and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 visualization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translating complex data into visual narratives to aid decision making.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