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Software Engineer with over 8 years of experience in IT consulting, specializing in application development and system architecture. Proficient in a diverse array of technologies spanning web, mobile, and cloud-based applications. Committed to delivering high-quality software solutions that align with specific business needs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Ruby on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SOAP,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optimized component rendering techniques and effective state management with Redux.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Lambda, S3, and DynamoDB to optimize deployment processes and improve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code quality through automated testing and continuous delivery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microservices architecture, refactoring monolithic applications into independent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thereby increasing system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seamless integration of external services in applications, ensuring secure data exchange and efficient third-party communications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facilitating knowledge sharing and maintaining high coding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20% through effective indexing and query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authentication system for a client in the healthcare sector,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patient data and meet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interfaces, successfully enhancing user satisfaction ratings by 15% as per customer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 infrastructure, achieving a 40% reduction in operational costs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significantly reducing bug occurrences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performance, enabling proactive identification of bottlenecks and optimizing resource allocation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capabilities and enrich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product increments were delivered on time and according to defined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robust backend services, maintaining security standards and ensuring high performance under heavy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daily stand-ups and sprint planning, to ensure coordinated team efforts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to facilitate data interaction for web applications, ensuring seamless user experiences through reliable state handling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leading to a more efficient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capacity planning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improved application responsiveness and accommodating increased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 that resulted in improved accessibility and user engagement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measures, including input validation and encryption protocols to protect application data from vulnerabilities and attacks.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with team members to ensure adherence to best practices and maintain high code quality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processes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for internal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exchange and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methodology, collaborating with business analysts to refine user stories and acceptance criteria, ensuring alignment with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web applications, significantly reducing infrastructure costs while maintaining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coding practices while resolving merge conflicts efficiently to uphold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reducing production downtimes due to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transfer sessions to educate team members on best practices for coding standards and efficient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troubleshooting of applications in production,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logs and performance metrics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