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over 8 years in IT consultancy and software development. Specialized in scalable web applications and robust integration solutions. Proven results in leading projects with cross-functional teams, leveraging advanced technologies to drive innovation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JIRA, Confluence,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WebSockets,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and cloud deployment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driving a 30% improvement in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production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regression bugs by 50%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project management, resulting in sprint completion rates of over 90%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user transaction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a team to migrate monolithic applications to microservices architecture, reducing server load and improving scalability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and query optimization techniques, which improved data retrieval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mentoring of junior developers in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advanced Git workflows,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maintainable and high-quality codebase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CI/CD, automating testing phases and improving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front-end applications, reducing over-fetching and improving overall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logging and monitoring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capability to troubleshoot issues efficiently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data encryption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regular vulnerability scans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compliance and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AI-driven analytics tools to enhance business decision-making processes, utilizing machine learning frameworks applicable to industry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delivering comprehensive solutions aligned with client needs in the financial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client-server communication, ensuring high performance and security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and enabling responsive design for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retrospection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which improved team delivery schedules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applications, optimizing query performance and implementing stored procedures that sped up report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coding practices and maintaining code integrity throughout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automated testing environment that reduced manual testing efforts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review process, advising on best practices and technology selection based on client project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secure access across applications for enhanced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for platform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high-quality coding standards and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QA testing and bug fixes for deployed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and reliability of the applications upon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collaborative teamwork through code reviews and pair programming practices, enhancing team knowledge and reinforcing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testing using post-deployment monitoring tools, ensuring applications functioned as intended under real-world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enabling validation of functionalities and streamlining debugging processes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architectural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and knowledge-sharing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deployments and introduced best practices for software lifecycle management, ensuring minimal disruption to client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