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software development, specializing in creating scalable web applications and implementing robust backend systems. Proven track record in agile environments, delivering high-quality solutions using modern technologies and frameworks. Deeply skilled in collaborative teams to drive innovation and improve system efficiencies while aligning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and ensuring optimal performance for high user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interaction efficiency by 30% and streamlining integration with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container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99% CI/CD success rate and accelerating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environment, improving product delivery timelines and fostering innovation through collaborative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web applications, ensuring robust user authentication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load times and improved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software reliability over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implement comprehensive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system health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performance tuning efforts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resulting in a 25% cost savings and enhanced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elevating team competency and code quality in web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incorporated new technologies and frameworks into existing projects, aligning with the latest industry standards to keep product offerings competitive.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collaboration and reducing merge conflicts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serverless designs that reduced infrastructure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 architecture and reusability of components for various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functionality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 queries, allowing front-end developers to fetch only necessary data while improving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overall application reliability and decreasing bug rates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effectively designing schemas that improved data integrity and query performance in 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UX teams to gather requirements, ensuring that software features meet user needs and align with business strategies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stacks,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platform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resources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leading to on-time delivery of project goals with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significant feature enhancements 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positively impacting user engagement and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measures for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high-availability systems with horizontal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construction of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real-time data analytics capabilities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Agile development practices, attending and contributing actively in sprints and retrospectives to continuously improve team dynamics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participated in discussions on code quality, advocating for established coding standards and best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APIs, enriching application functionality and user experience of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presented findings to management, influencing strategic decisions on future product designs and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