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strong foundation in developing innovative software solutions. Proven ability to collaborate with cross-functional teams and deliver high-quality, scalable applications using modern technologies. Excels in fast-paced environments, with a focus on continuous improvement and a commitment to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streamlined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third-party services, allowing seamless data exchange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S3, EC2, and Lambda, which increased system reliability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code review practices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collaboration and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by 25%, ensuring responsive data access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software reliability and decreasing bug rates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efficiency and promoting a culture of innovation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enhance system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code principles to elevate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significantly improved testing turnaround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system development lifecycle (SDLC)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projects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personal skills while promoting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necessary adjustments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client satisfaction based on user interface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cloud-based applications, enhancing data retrieval times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and refactoring processes, improving codebase maintainability and enhancing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project milestones on time by efficiently communicating with stakeholders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security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reporting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actionable insights that improved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to migrate large datasets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integration with downstream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various web accessibility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user engagement and retention for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transitions and maximized functionality post-upgrade.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decreasing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increasing application uptime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times and fostering better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noticeable increase in user traffic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deliver custom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their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efficiency through active participation in sprint reviews and retrospectives, emphasizing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