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IT consultancy, specializing in web development, systems integration, and critical software architecture. Proven expertise in leveraging a broad tech stack to deliver high-quality solutions tailored to client needs, especially within the healthcare sector. Adept at collaborating with cross-functional teams to drive project success and improve user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JUnit,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RabbitMQ, Elasticsearch,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high-availability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40% increase in user engagement in a patient management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for a healthcare solutions provider,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delivering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Spring Boot application for processing patient data, ensuring adherence to HIPAA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cloud-native solutions, including S3 for storage and EC2 for computing, leading to a 25% cost reduction in server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RESTful APIs for seamless data interchange between the front-end and back-end,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richer data fetching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performance of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resulting in a 50% decrease in latency for client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promoted best practices in front-end development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coding standards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establish automated testing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practices within the development team as a Scrum Master, driving bi-weekly sprints and effective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queuing, enhancing the data processing capabilities of the application architecture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reviews and contributed to high-level design decisions aligning with business objectives for healthcare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optimized legacy codebases to improve performance and maintainability, ensuring system robustness against evolving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present software solutions tailored to specific needs within the healthcare domain.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business intelligence and reporting for clients in the technology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 dynamic web application that simplified the workflow for a logistics company, improving operational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the release process to reduce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implementing complex queries to enhance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teams to design and develop e-commerce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conversions by doubling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applications, which led to consistent environments and simplified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translate business requirements into technical specifications, focusing on user experience and functionality in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demonstrable quality standards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streamline project workflows, enhancing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build a secure identity management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enhanced functionality within applications, ensuring compliance with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implemented software solutions, improving user adoption rates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migration of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internal and external stakeholders to facilitate better communication of software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client-specific projects by conducting requirements gathering sessions, ensuring solutions were tailored to their unique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post-deployment,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bottlenecks swiftly.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