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and innovative Senior Software Engineer with over 8 years of experience in building robust applications using agile methodologies. Proven expertise in developing scalable solutions utilizing modern frameworks and technologies, with a passion for driving efficiency and improving user experiences. Seeking to leverage comprehensive knowledge of software development to deliver high-quality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Struts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RabbitMQ,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microservices-based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scalability, processing millions of requests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dynamic front-end interface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high performance and responsiveness,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leading to a 60% improvement in load times for certain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fast retrieval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scale applications seamlessly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engineering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integrate new features such as user authentication and payments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increasing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for system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and reducing incident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Agile ceremonies, contributing to sprint planning and retrospective meetings to ensure continuous improvement in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test-driven development (TDD)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which improved code quality and reduced bugs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data storage, leveraging services such as EC2, S3, and RDS to ensure application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migration of legacy codebases into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the UX team to implement responsive design principles in web applications, contributing to an overall cohesive digital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dynamic data synchronization functionalities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defining and developing a high-availability system architecture using cloud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uptime to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systems through APIs, enhancing platform capabilities and providing additional features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applications by creating efficient database schemas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read and write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extensively in pair programming sessions to enhance code quality and knowledge transfer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for production issues and implemented solutions that led to a 20% reduction in support tickets.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existing software architectures and processes, ensuring knowledge sharing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leading developer meetings focused on identifying process improvements and collaborative problem-solving.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an identity management system using microservices architecture,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requirements gathering sessions, helping translate business needs into technical specifications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unit testing and integration testing to ensure software reliability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redesign of the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for responsive web design, resulting in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security measures into applications, utilizing frameworks compliant with OWASP standards to safeguard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timelines and deliverables, ensuring alignment with client expectations and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monitoring solutions using logging frameworks to track application performance and troubleshoot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methodologies, improving team delivery by fostering a commitment to quality and timely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