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designing, developing, and deploying sophisticated applications using a diverse array of technologies and methodologies. Proven track record of leading projects to successful deployment, actively collaborating with cross-functional teams, and utilizing Agile methodologies to enhance project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HTML5, CSS3 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Express.js, Flask,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GraphQL,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deliver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processing time for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modularity and deployment speed, reducing downtime during updates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processes, enhancing data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testing and deployment processes, which decreased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for various frontend applications, leading to a better user experience and faster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and robustness in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 designs,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to promote best practices in coding standards, contributing to 15%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facilitate serverless computing, reducing operational costs by 25% while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and indexes to boost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enhancing communication across teams and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easy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and implemented optimizations, leading to a 30% increase in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operations with an emphasis 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architect and implement scalable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effectively optimizing queries for large-scale application demands, thus improving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workflows, driving a 25% improvement in team efficiency and sprint velocity through regular stand-ups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junior developers and shared knowledge of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and delivery processes were applied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propose technical solutions, resulting in 100% client satisfaction ratings during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interactive user experiences, increasing user task completions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authentication and data protection features under GDPR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overall architecture design, improving maintainability for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from monolithic applications to microservices, significantly boosting deployment frequency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data storage practices to improve retrieval speed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efficiently to manage and resolve code conflicts during merges.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refine application features, using rapid prototype development practices to validate functionality with real-world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support development and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 on emerging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