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innovative IT solutions across diverse industries. Proficient in software development lifecycle (SDLC) methodologies and cloud-based technologies, with a strong emphasis on Agile practices.  Adept at collaborating with cross-functional teams to design, develop, and deploy high-quality software. Skilled in leveraging cutting-edge technologies to solve complex business problems and improve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Microservices Architecture,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Rapid Application Development, Lean Software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Bootstrap, SASS,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interfaces and streamline backend processes,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implementation of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microservices architecture to improve scalability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management, improving deployment efficiency by 40% and reducing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support multi-platform applications, optimizing data exchange and integrating third-party services, which facilitated a 50% faster time-to-market for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in production and reducing bug rates by 25%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seamless user experiences by enhancing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web standards and accessibility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manual effort and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cloud security best practices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safeguarding sensitive information during data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Invested in team skill growth through mentorship programs, training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technology stack usage,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 to continuously improve application functionalities, adopting user-centric approaches in testing and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our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functionality and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designing schemas that optimized performance and support for advanced querying features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client proposals by drafting technical documentation and architectural designs, showcasing innovative IT solutions tailored to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embracing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team collaboration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transaction handling time by 20% for client-facing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applying development best practices and identifying areas for optimization within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cross-departmental projects to microservice architectures, deploying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service flexibility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workflow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collaborative development processes and maintain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via query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Empowered client teams through training sessions focused on utilizing our developed tools and technologies, ensuring seamless transitions and user adoption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robust security protocols across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creating automated deployment scripts that reduced manual interventions and streamlined operational efficiencies.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and data access layers in collaborative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enhance system capability, scalability,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performance, contributing to 90% code coverage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promoting effective communication and project visibility among teams, ultimately enhancing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technical specifications while ensuring cross-functional alignment for the development team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that provided efficient data access and manipulation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legacy applications to maintain operational continuity while improving overall application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scopes and objectives, ensuring technical feasibility and alignment with end-user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