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IT consulting, possessing robust expertise in multiple programming languages, frameworks, and tools. Proven ability to lead development teams in delivering high-quality solutions tailored to client needs. Proficient in implementing architectural best practices while utilizing modern technologies to drive efficiency and enhance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Bootstrap, Material-UI,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implement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decreased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enhancing data retrieval times by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and reduced rollback incidents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migration of legacy systems to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hosting costs.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improving team productivity and code quality through established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ensuring top-notch software reliability and user experience across multiple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that increased web application speeds by 60% through meticulous optimizations in front-end and back-end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optimizing client workflows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testing and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expertise, leading to the successful execution of 10+ high-impact projects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end users, facilitating smooth transitions during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bottlenecks and implemented changes that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define application architecture best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complex queries and data modeling to ensure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feature development, streamlining code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session and caching mechanisms, reducing latency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maintaining software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members to improve project outcomes and promote an adaptive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continuous migration to serverless architecture within AWS, reducing operational overhead while increasing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access times through advanced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and dynamic web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assurance practices through pair programming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processing of web requests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reliable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mobile-first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client offerings to mobile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user experiences, ensuring that feedback is actionable and effectively integrated into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