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extensive experience in developing robust software solutions across various IT consulting sectors. Proficient in employing cutting-edge technologies and frameworks to efficiently address client needs. Passionate about optimizing processes through innovative solutions, mentoring junior developers, and driving technical excellence in high-performance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GDPR Compliance, SOC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Lambda, achieving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facilitating continuous integration and delivery (CI/CD)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a patient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operational efficiency for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and clustering strategies, significantly enhancing performance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reducing technical debt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integrated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retrieval and reduced bandwidth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security audits and implemented compliance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access management, enhancing security framework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ensuring software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practices, leading sprint planning and retrospective meetings, which improved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custom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errors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front-end applications, resulting in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(UAT) with clients to gather feedback and iterate on product features, increasing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version control and collaboration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implementing microservices that improved maintainability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end-to-end project lifecycle from requirements gathering to system design,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management, optimizing complex queries for data retrieval, and ensuring data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task management and team collaboration, prioritizing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reliability by reducing bug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enhance the usability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design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such as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transactions for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of applications on cloud infrastructure, achieving an overall system performance improvement of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translate them into technical specifications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policies and procedures for IT compliance, including data protection regulations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software development, enabling seamless integration across team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promoting best coding practices and reducing the incidence of critical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best practices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