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software engineer with over 8 years of experience in developing and architecting innovative solutions using a diverse range of technologies. Proven track record of leading teams to deliver successful projects while ensuring alignment with industry standards and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ASP.NET,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Kubernetes, Terraform, Ansible,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gRPC,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RSpec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JIRA, Confluence, Whiteboard, Visual Studio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improvement in load times and an enhanced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deployment and scaling of applications for diverse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and optimized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 and increasing development velocity.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accessibility for front-end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automated testing suites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85% and reducing bug rates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database schemas and optimized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performance gain in data retrieval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reviews and contributed to best practices documentation, fostering a culture of quality and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coding practices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resulting in improved team efficiency and product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in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and authorization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system performance assessments and applied optimizations through profiling techniques,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analyze bottlenecks.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technical solutions to stakeholders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project alignment with business goals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cloud storage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persistency, enhancing data retrieval efficiency for large datasets.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mobile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expanding our service offerings and tapping into a new user demographic.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develop responsive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user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significant increase in employee productivity and project outputs.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Web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data exchange between front-end and back-end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performance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processing speed and minimizing downtime during peak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QA teams to ensure software quality through automated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testing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scrum meetings to sync with development teams, ensuring successful adherence to sprint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Researched and applied machine learning algorithms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intelligent data-driven solutions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migration of legacy systems to cloud-based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flexibility and cost savings.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production support, troubleshooting performance issues, and implementing enhancements in application functionalities.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customer-facing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25% increase in customer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unit tests and participated in code reviews to maintain code quality and consistency across the application stack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Capybara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integration tasks that involved third-party APIs, enhancing system functionalities and improving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implement iterative software development processes and adopt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efforts by creating user manuals and technical specifications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team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by attending internal workshops on emerging technologies and industry trends, ensuring skill enhancement.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troubleshooting assistance for deployed applications, enhancing user experience and client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Carried out code refactoring to improve maintainability and readability of legacy code, aligning with organizational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