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scalable software solutions and leading development teams. Proven expertise in a diverse range of technologies, including web and mobile platforms, with a strong emphasis on performance optimization and code quality. Committed to leveraging industry best practices to deliver innovative solutions that meet complex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Vue.js, Angular,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Python, Django, Ruby on Rails,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Selenium, Jest, Mocha,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Xcode, Android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Whitelisting, Penetration Testing,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processing times, resulting in a 40%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75% while ensuring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mobile app communication performance by 30%, directly impacting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that improved codebase stability and reduced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decrease response times for frequently accessed endpoints, leading to higher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define project requirements and deliverables,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to track progress and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on web applications, ensuring compliance with industry security standards such as ISO 27001.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interaction with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that improved page loading speeds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high-availability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containerized applications, achieving 99.99% uptime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regression testing time by 50% and increasing deployment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for distributed systems, applying advanced profiling tools and techniques, achieving a 30% improvement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the DevOps team to implement centralized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analyses and recommended enhancements using existing technology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sprints setup,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leading to improved team productivity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feature reliability and reducing time-to-release for new updates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concurrent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thread safety and reliability under heavy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the maintainability of legacy systems, applying design patterns and effective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capabilities, optimizing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performance improvements in existing products through deep dives into application profiling and interface optimizations using profiling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data protection protocols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unit testing and maintained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reliability for newly implemented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to enhance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elevating overall team technical capabilities and knowledge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complex technical issues in client environments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integration, ensuring minimal downtime and quick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bug reports and feature requests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prioritizing and managing workload for optimal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project feedback sessions, fostering a collaborative environment focused on continuous improvement and technical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reviews on developed software, employing automated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deployment strategies and planning, ensuring application readiness using CI/CD principles and making use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