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delivering innovative solutions across various industries. Proficient in leveraging diverse technologies to drive the success of client projects and maximize value in fast-paced environments. Proven expertise in software development, cloud technologies, and system architecture, seeking to advance impactful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Computing, CI/CD,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applications to handle over 100,000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reduce operational costs and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processing millions of messages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the user experience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Accelerated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deployments with minimal downtime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diagnostics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roadmaps and iterate on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secure application environments adhering to industry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protection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of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indexing strategies and query optimization, resulting in 40%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client-server interactions, allowing third-party integrations to enhance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managing containerized applications, which streamlined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 to increase quality assurance effectiveness and reduce regression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development, emphasizing the importance of code quality and efficiency through pair programming and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resource utilization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optimized state management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during data exchange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caching strategies that improved response times on high-traffic applications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using DevOps practices,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ensuring consistent environments across both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teams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implementing sprint planning and retrospective meetings to improve workflow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and workflows to help manage code complexity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back-end services that powered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interchange between different system components and reducing API call failures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implementations, supporting rapid application development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processes to enhance software quality and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participating in daily stand-ups and sprint reviews to effectively manage deliverables and track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CI/CD pipelines and automated build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rapid deployment cycles and early stage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practices for knowledge sharing and improved development practices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