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scalable applications, leveraging cutting-edge technologies and frameworks. Proven ability to lead projects and guide teams in creating robust solutions while ensuring adherence to industry best practices. Demonstrated expertise in multiple programming languages and a strong understanding of software architecture, design patterns,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speed by 40% and enabled seamless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high-performance server-side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response time improvements of 35%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cloud-optimized infrastructure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CI/CD pipelines with automated testing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delivery cycles by 30% and improving application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delivering dynamic data visualization that increased critical decision-making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software development practices and encouraged the implementation of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balancing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application throughput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requirements, translating them into technical specifications for implementation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querying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for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compliance with OAuth 2.0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comprehensive logging and monitoring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observability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deployment processes, which improved provisioning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scheduling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resource allocation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detailed profiling and optimization approaches, effectively reducing memory usage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drive project timelines and deliverables, ensuring the alignment of development goals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features 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compliance with client-specific coding standards and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 development,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communication protocols between client-side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which reduced data retrieval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CI/CD pipelines to maintain high code quality across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reliability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facilitating consistent deployment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in defining user stories and acceptance criteria, ensuring a clear understanding of goals while implementing feedback loops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technical specifications and user manuals,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collaboration tool to enhance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enforce coding standards and promote knowledge sharing within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high-quality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architecture and design decisions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secure APIs—employing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protocols—enhancing application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routines, contributing to sprint planning and retrospectives to improve development processes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optimize application performance, increasing load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define and conduct manual and automated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releases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continuous integration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collaboration in source control management across several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focused on agile development methodologies and effective project management, enhancing team collaboration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for software development cycles and deployment processes, aligning with organizational goals and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