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and implementing sophisticated software solutions. Expertise in a diverse range of technologies including cloud platforms, microservices architecture, and front-end frameworks. Adept at leading cross-functional teams, enhancing system performance, and leveraging Agile methodologies to drive project success. Committed to utilizing robust technical expertise to solve complex problems and optimize business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gRPC,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Jasmine, Selenium,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Agile, DevOps,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Bootstrap, jQuery, Apache Kafka,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deployment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monolithic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improving scalability and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while collaborating with UX designers on responsive design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frequency and reducing lead time for changes by automating the testing and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implementing indexing strategies which improved query performance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facilitating continuous feedback loops and effective sprint retrospectives which enhanced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analysis of application performance and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maintainability and reducing the technical debt substantially.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establish an API layer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for complex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cost savings by optimizing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Outlined and executed comprehensive unit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decrease in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conducted code reviews, promoting best practices within the engineering team for improved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safeguarding sensitive data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thinking workshops to innovate solutions based on customer feedback, aligning product development closely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automated reporting processes and saved over 200 hours annually.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helping to foster a collaborative environment geared towards continuous improvement and increasing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costs and increasing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for various client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integration capabilities for mobile and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in developing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 responsiveness and accessibility practices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management processes and ensuring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workflow automation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tracking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code and design documentation in alignment with industry standards, ensuring ease of knowledge transfer and onboarding for new engineers.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within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readiness prior to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of new features in client-facing applications by developing wireframes and prototypes in collaboration with UX designers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sharing sessions to promote technical skills enhancement among peers, contributing to a cohesive learning culture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bug triaging and debugging activities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 high-quality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performance evaluation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systematic assessment of application workloads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provide technical oversight on implementation details, ensuring alignment with their business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