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high-performance applications using a diverse tech stack. Proven ability to collaborate with cross-functional teams to deliver innovative software solutions, optimize existing systems, and drive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highly efficient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 integration, enabling a scalable user experience with over 30%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interactions between front-end components and server-side logic, thereby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costs by 25%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deployment, ensuring consistency across multiple environments and enhancing scalability with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 significant increase in data volume,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into CI/CD pipelines for high-quality code delivery,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scope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timely project deliveries and enhanced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minimizing the amount of data transferred and improving client-side rendering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processes, reducing manual intervention and improving efficiency in the software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wireframes that enhanced user engagement by 45%, employing user feedback for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multi-tier architectures for enterprise applications, ensuring better security and performance using appropriate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projects, facilitating better team collaboration and history tracking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tasks organized and progress effectively communicated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data storage solutions in projects requiring flexible schema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solutions that required robust security and scalability, resulting in a 50% increase in client satisfaction based on delivered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modern web capabilities with an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assisting in backlog grooming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server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reducing test cycle time by 20% following integration into CI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branch management and team collaboration on code changes, significantly streamlining the review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during system upgrades and providing seamless transitions for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incidents,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and performance tuning.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solutions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features for client applications while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UI/UX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resulting in a responsive design compatible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back-end team in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responsiveness and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develop test cases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test coverage for key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project requirements and provided technical insights on feasible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