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expertise in developing scalable applications, utilizing state-of-the-art technologies, including React, Node.js, AWS, and Docker. Proven track record in IT consulting with hands-on experience in leading cross-functional teams to architect and deliver innovative solutions in high-stakes environments. Seeking to leverage technical acumen and strategic insights to drive architectural direction and influence key initiatives within your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multi-tier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system performance by 40% through 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the migration of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efficient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a highly interactive user interface, encapsulating a responsive design that increased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delivery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agility and adherence to coding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feedback gathering.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defects by 25% and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system resilience and scalability for microservices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increasing data retrieval efficiency for client applications by incorporating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Pair Programming and Code Review practices to enhance collective code ownership and foster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scenarios, reducing bandwidth usage by 20% across applications used by over 10,000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slashing infrastructure costs by 50% while maintaining performance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cloud applications, including IAM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data encryption, securing sensitive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 enterprise application by migrating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which improved maintainability and performance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Agile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collaboration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APIs tailored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compliance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processes, safeguarding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refine requirements and translate them into technical specifications, following an Agile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proactive maintenance environment with 24/7 system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efforts for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calls and validating environmental security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 by 15% compared to previous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project delivery, focusing on module design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performance increase by 20% through efficient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leading to consistent sprint retrospectives and refinements of backlogs for subsequent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assured the stability of deployments and reduced QA stage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refactoring legacy APIs, transitioning them to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improved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troubleshot server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fault tolerance for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