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high-impact software solutions, leveraging extensive technical expertise in both backend and frontend development to drive project success. Proven track record in designing scalable architectures, utilizing cutting-edge technologies, and optimizing performance in diverse environments. Excellent problem-solver and effective communicator, with a passion for mentoring and enhancing team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gRPC, JSON,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development of a cloud-based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resulting in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deployed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integration with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rollouts and reducing bug incidences post-deployment to below 2%.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type safety and maintainability of a large-scale enterprise application, leading to a significant reduction in runtime errors by approximately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innovate user-centric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user satisfaction score increase of 15 points in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optimizing database interaction times, resulting in a 70% improvement in performance metrics for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strengthening team skills and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incident management and reducing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rigorous coding standards across the team, enhancing code quality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comprehensive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increase in team satisfaction regarding deployment timelines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adaptive user interfaces that cater to all devices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mobile-friendly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architecture design and implementation of scalable web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secondary framework, enhancing project versatility.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high-volume transaction processing with improved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 and site responsiveness, doubling user session durations.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security protocols in accordance with industry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significantly improving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SQL databases across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achieving a 40% reduction in query processing time through effective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 to migrate legacy applications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modernizing the deployment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gather requirements and ensure timely project delivery aligned with business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applications with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high-throughput messaging systems for real-time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CI/CD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source code management, optimizing team collaboration and workflow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enterprise applications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for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leading to a robust testing environment and earlier bug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translate business requirements into technical specifications, bridging the gap between stakeholders and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maintenance and enhancement of existing applications, ensuring optimal performance through regular system audits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various APIs, ensuring seamless communication between frontend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and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production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newly implemented software features, enhancing user adoption rates for developed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