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developing and optimizing advanced software solutions leveraging a wide array of modern technologies. Proven track record in leading projects efficiently while ensuring adherence to best development practices. Skilled in collaborating with cross-functional teams to deliver high-quality, scalable applications. Demonstrated ability to architect complex systems, optimize UI and backend performances, and foster innovation through technical leadership.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Swagger, Postman, Visual Studio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services, gRPC, SOAP,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TypeScript, Bootstrap, jQuery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by 40% through optimized UI/UX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reduction in operational costs due to on-demand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frequency by 50% and reduced downtime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 and testing, enabling the team to ensure API reliability and performance meets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adoption of test-driven development (TDD)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gateways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PCI-DSS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code reviews and design patterns,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translate wireframes into interactive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indexed tables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response time improvement of 20% across key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for both frontend and backend services ensuring 90% code coverage with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across AWS cloud infrastructure,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and reliable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incident responsiveness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with product owners to prioritize backlog and define sprint goals, leading to successful on-time project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integration with frontend applications and boosting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reduced query processing time by 35% for major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transition monolithic applications to microservices, enhancing scalability and maintainability for client-facing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reliability and code robustness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the implementation of new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deployment process across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scrums and agile methodologies, focusing on iterative delivery and frequent updates for clients, increasing client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interactivity and functionality for client requirements, increasing user satisfaction metrics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architecture decisions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ongoing maintainability and knowledge sharing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lifecycle with strong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building robust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newer technologies,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App Service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operations in a cloud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team collaboration and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customer workshops to gather requirements and translate them into functional specifications, aligning development efforts with client expectations and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resolving complex application issues, leading to a 20% reduction in support tickets.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enhance code quality and share knowledge of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responsiveness and user interactions across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