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implementing innovative software solutions across various industries, including healthcare. Proficient in leveraging a wide array of modern technology stacks to deliver robust applications that enhance user experience and drive business results. Aiming to contribute technical expertise in a challenging environment that fosters innovation and professional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Spring Boot,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Strategies: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Blue/Green Deployment, Rolling Updates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create serverless backend solutions,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 across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gateway patterns, securing sensitive data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reduce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in an Agile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support multiple frontend applications, increasing developer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knowledge sharing and continuous improvement based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deployments, facilitating rapid software delivery and reduced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dynamic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significantly over previous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monolithic applications into microservices, improving scalability and maintenance which reduced downtime incidents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automation, leading to improved consistency and reliability of cloud deployments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lowering response times and improving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analyses identifying bottlenecks, providing architects with recommendations that boosted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application performance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optimizing query performance through indexing strategies leading to 50% faster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 pipelines, which decreased the integration testing time significantly, ensuring smooth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Scrum teams, contributing to backlogs for regular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APIs to integrate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sufficient documentation and ease of use for consumers.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systems under peak loads and identify system weaknesses,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transitioning from legacy systems to modern web frameworks, successfully reducing technical debt and increasing code reusability.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utilities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management, enhancing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backend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server-side logic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databases during the early stages of application development, ensuring fast iteration cycles and reduced setup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CLI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leading to improved operational efficiency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APIs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providing a seamless data handling experience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technical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management, ensuring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technical specifications to facilitate knowledge transfer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performance optimization of existing systems through code refactoring and utilizing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