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 applications and delivering high-quality software solutions. Expertise in a wide range of programming languages and technologies, with a strong emphasis on collaboration, problem-solving, and client engagement. Proven track record of leading engineering teams and driving technical innovation across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practices in coding and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6 engineers in transitioning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70% and enhancing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inter-system communication, which improved data retrieval efficiency by 50% through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enabling seamless scaling and management of application workloads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enhancing team skills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best practices for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increase from 60%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 in high-load applications, significantly improving response times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methodologies, conducting bi-weekly sprints and retrospectives that increased team productivity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serverless application model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infrastructure management overhead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security protocols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access,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monolithic applications to a microservices architecture, enhancing system resilience and team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enforcing version control standards which improved collaboration efficiency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full-stack solutions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client-facing applications, enhancing user engagement through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develop architectural designs, implementing solutions based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migrations from on-premises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nearly 100% uptime during the transition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successful reduction in post-deployment bugs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analyzing and refactoring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techniques and thorough debugging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schemas and 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a 500% increase in data handling capacity.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in deployment processes, streamlining various operations within the CI/CD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interns and junior developers, focusing on practical applications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cloud services, and web technology stacks.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 sign-on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robust backend services that served over 100,000 active users while maintaining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dev team knowledge sharing and onboarding processes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retrospectives, fostering a culture of continuous improvement and agile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seamless interaction between incremental feature deployments across diverse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frontend components using various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traditional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adapting to client design requirements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on rapidly iterated prototypes, ensuring alignment with user needs and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processes leading to a 20% reduction in server response time across applications through strategic architecture refinements.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