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robust software applications across various sectors, including IT consulting. Skilled in leveraging advanced technologies and frameworks to create innovative solutions and drive business growth. Proven ability to lead projects and mentor junior developers while maintaining high standards of code quality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Jenkins, JIRA, Kubernetes, Terraform, GraphQL, REST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Cypress, Postman,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Architecture, Serverless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RabbitMQ, Redis, TypeScript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 end-to-end application for a healthcare client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and resilient infrastructure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software solutions by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API interactions, resulting in a more efficient data fetching mechanism that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integrity and improve deployment frequency, achieving 95%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clients to gather requirements and define project scope, aligning software solutions with business goals through the use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code quality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third-party services, enhancing product features for clients in various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 benefiting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databases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end-user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ensure alignment between functionality and user experience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deliver agile projects on time and within budget, ensuring high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constructive feedback to peers, promoting continuous improvement in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event-driven architecture patterns that enabled better system responsiveness and resource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managing data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efficiency by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leading to faster data retrieval processes for the front 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build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refactoring code and introducing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stand-up meetings and sprint reviews to ensure alignment on project goals and timelines, facilitating smooth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implementing security practices that adhered to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integrating modern CI/CD practices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tools, streamlining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architectural decisions and design patterns to facilitate knowledge sharing and onboarding of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security across user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techniques, which improved application responsiveness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stages of the software development lifecycle (SDLC), contributing to requirement analysis, design, and deployment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technology stack improvements and innovation strategies to enhance product delivery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applications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client interfaces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performance for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projects from on-premises infrastructure to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coaching sessions, sharing knowledge on best practices and coding standards to cultivate a collaborative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