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developing scalable applications using modern technologies in diverse environments, focusing on continuous improvement and high-quality software delivery. Proven track record in overseeing complex projects and driving innovative solutions in the IT consulting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SAST/DAST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user experience through strategic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improving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infrastructure costs and enhancing application resilience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secure RESTful services,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sensitive user data, thereby achieving a 50% decrease in security vulnerabilities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continuous learning and code quality by employing pair programming and regular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cloud resource provisioning and management across multi-cloud environments, enhancing the project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improving data retrieval speeds and reducing query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increase team transparency and improve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modularity and reusability which facilitated easier maintenance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system performance and application health, helping to preemptively address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software architecture decisions, advocating for best practices in microservices, leading to improved communication and independent deployment processes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bug counts in production releases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leading to improved user engagement and satisfaction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storage and retrieval in highly transactional systems, which resulted in a 25% increase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reliable scaling and seamless updates with zero downtime for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feature design and wrote detailed architecture documents to guide project direction, focusing on best practices and maintainability of code bases in collaboration with product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enhance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regression bugs and increasing code reliability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including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pipelines, empowering developers to take ownership of their deployments and adherence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time for application rollouts and increased reliability of releases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that conform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specifications, allowing for better integration points with third-party services and future-proofing application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included implementing model-view-controller architecture to increase application modularity and decrease coupling.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ensured deliverables met client expectations by using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password policies for user management in applications, increasing overall security integrity in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indexes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improvements, which resulted in significant reductions in load times for highly utilized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maintenance and updates on legacy systems, gradually transitioning the architecture to more modern frameworks which improved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disaster recovery planning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AWS environment, ensuring high availability and quick recovery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documentation processes, ensuring that all technical documentation was aligned with service level agreements (SLAs)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conversations with clients to gather requirements, ensuring the solutions provided were fully aligned with business needs and technical specifications, fostering stronger client relationships.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