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expertise in delivering robust software solutions, leveraging a diverse tech stack to enhance application performance and user experience. Proven ability to lead projects, optimize systems, and collaborate effectively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WebSockets, gRPC,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CircleCI,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that improved client engagement by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microservices architecture for a cloud-based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seamless deployment, which reduced application downtime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 several applications, increasing data retrieval efficiency by 40% compared to traditional RESTful approaches.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release processes and reducing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critical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mechanisms and conducting regular security audits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methodologies within the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management, resulting in a 25% increase in sprint completion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collaboration and continuous improvement in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efficient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end-to-end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deliver highly interactive and user-friendly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by up to 30%, significantly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sessions to maintain high code quality and knowledge sharing among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scalability assessments on existing applications, achieving significant throughput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using Helm charts, ensuring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seamless interactions within the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product reliability and reducing bug count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project transitioning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message queuing and asynchronous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implement MVP features in a fast-paced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deployments, managing infrastructure setup, and configuration as code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payment gateways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e-commerce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daily stand-ups and bi-weekly retrospectives, improving team dynamics and project planning accuracy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Key contributor in migrating legacy applications to cloud environments, ensuring compliance with industry standards and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team collaboration and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testing artifacts and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integrity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for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performance of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data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several processes and reducing manual workload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involving schema design and performance tuning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cycle by implementing code standards and ensuring adherence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enhanced collaboration and version management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identify and resolve defects in applications, improving overall product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