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architecting and implementing full-stack applications, driving efficiency in software delivery, and leveraging a diverse tech stack to create scalable solutions. Proven track record of collaborating in agile environments, utilizing modern technologies to solve complex challenges, and mentoring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Elastic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performance and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front-end and back-end services, achieving 99.9% uptime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develop a microservices architecture that resilently handled over one million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improved software delivery cadence.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processes across multiple environments,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retrieval processes, reducing data access time by 70% in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90% test coverage in all new applications and a significant drop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health, preemptively addressing issues and improving reliability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 to deliver innovative features that aligned with user needs and business objectives, achieving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improving the efficiency of client-server interactions and reducing data transfer sizes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multi-tenant applications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enhancing security compliance with industry standards and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deployment scripts and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environment setups and facilitating disaster recovery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architecture and processes supporting team knowledge-sharing and onboarding, which improved new hire ramp-up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client processes and reduced operational expenses by automating key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 cloud-based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compute services, enhancing system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out legacy systems by integrating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performance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mining and analysis tools, allowing stakeholders to gain deeper insights from key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role-based access controls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application security and data integrity across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teams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features while facilitating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deploying fixes that improved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to verify that applications functioned correctly across browsers, ultimately resulting in user retention rates above 90%.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with a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functionality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improving legacy infrastructures by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service communication, enhancing interoperability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management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coordinating engineering efforts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log aggregation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comprehensive insights and facilitating data-driven decision-making for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code quality and maintainability while reducing the incidence of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activities through detailed documentation and status updates, enhancing team communication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customers to gather feedback during the development process, leading to improved product adaptation and a higher level of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onboarding process for new hires through the implementation of structured training programs focusing on essential technologies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