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specializing in backend systems, cloud technologies, and team leadership. Proven ability to deliver high-quality code and mentor junior engineers while fostering a culture of collaboration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Microservices, gRPC,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DynamoDB,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Amazon SQS, MS MQ,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Jenkins, SonarQube,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scalable and maintainable application structure for enterprise-level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that improved system interoperability by 40%, facilitating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enhancing code quality and team productivity by implementing code reviews and pair programming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automated scaling and management of cloud applications, which improved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requirements and translate them into technical specifications, enhancing the alignment of business goals with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automated testing frameworks,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solutions, optimizing query performance and ensuring data consistency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and provided insights on cloud best practices to improve security and compliance in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of system performance, leading to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all projects, ensuring knowledge transfer and maintainability of systems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 and played a significant role in backlog grooming to ensure high-priority tasks were consistently addressed by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plugins that extend the capabilities of cloud integration platforms, showcasing innovation and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microservices for high-traffic applications, resulting in a 20% increase in system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gather requirements and deliver features aligned with business objectives,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transaction processing speed by 15%, enhancing user experience for hundreds of thousands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design and code review sessions, advocating for best practices in code quality and performance tuning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service-to-service communication, ensuring efficient data exchange and minimal latency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infrastructure design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EC2 and S3, resulting in robust and scalable cloud architectures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through technical workshops and code reviews, fostering a culture of continuous learning and improvement in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bug counts pre-deployment.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features for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security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architect solutions integrating with third-party APIs, focusing on efficient data handling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schemas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retrieval, which improved application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backend services and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microservices, leading to more flexible and maintainable code structures, aligned with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focusing on prioritizing tasks and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 architectures and integration processes, ensuring clarity and maintainability for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incident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issues and streamline resolution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