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and delivering custom software solutions across multiple technology stacks. Proficient in both front-end and back-end development with a strong focus on creating efficient, scalable applications that leverage the latest industry standards and practices. Seeking to leverage extensive expertise in technologies such as C#, .NET Core, React, and Docker to drive innovation and improve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Node.js, MVC, Microservices,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Visual Studio,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streamline client interactions, resulting in a 30%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software requirements and effectively translate client needs into technical specifications for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serve front-end applications and integrated various external APIs, ensuring smooth data flow and a user-friendly interface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team in refactoring existing codebases into microservices architecture, enabling better management of services and decreasing the overall software maintenance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ensure timely delivery of project milestones,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on-time project completions.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 to interact with databases effectively, leading to a significant improvement in data retrieval times,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processes with CI/CD tools and significantly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 and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align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 and user guides, facilitating better knowledge transfer and user adoption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post-implementation, leading to adjusted features that increased client retention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for monitoring application performance using AWS services, leading to proactive issue resolution and improved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that resulted in a 35% reduction in processing time for backend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architecture and planning conversations to define system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new features in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functionality and improved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facilitate smooth project management, which led to a 15%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in complex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easier debugging for larger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storage, retrieval, and transformation processes for multiple projects, significantly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for maintainability and performance using best practices, which decreased technical debt and led to smoother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provide ongoing support and technical guidance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 processes, focusing on ensuring adherence to best practices and enhancing overall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load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APIs that facilitated efficient connectivity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Included elements of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high-quality code base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translate wireframes into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that visualized application performance, enabling faster identification of bottleneck issues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operational procedures, aimed at improving onboarding for new team members, ultimately reducing ramp-up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 to maintain the integrity of the codebase while allowing for ongoing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during transitions to modern frameworks, ensuring business continuity throughout the upgrade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