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developing web and software applications. Proven expertise in designing scalable solutions using advanced technologies, optimizing performance, and delivering quality products in fast-paced environments. Adept at collaborating with cross-functional teams to build innovative applications that meet customer needs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transaction speed and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 and reducing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testing and ensuring high-quality output through end-to-end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real-time data processing system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streamlining data throughput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comprehensive profiling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Agile practices in the team, facilitating sprint planning and daily stand-ups, resulting in improved delivery timelines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UI testing, which improved code quality and reduced bugs in production by over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collaborate with design teams for UI/UX improvements, ensuring user-friendly interfaces while adhering to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branching strategies to streamline code collaboration across multiple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tasks, boosting team productivity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provided technical solutions tailored to their needs, fostering long-term partnerships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 and professional development, contributing to a collaborative and innovative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quick resolution of incidents and improved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optimal load speeds for a diverse client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intricate database models and performed complex SQL queries to optimize application performance,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CRM system by integrating external APIs, employing agile methodologies to enhance iterative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disaster recovery and business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 bugs during releases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system design workshops to gather technical requirements and create actionable project plans aligning with stakeholder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maintainable code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server-side performance by implementing caching strategies, leading to a 20% reduction in latency and improved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dynamic content updates and responsive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robust backend services, enabling seamless integration with third-party APIs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development practices, improving team collaboration and project delivery timelines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uphold coding standards and enhance code quality within the development team, increasing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applications adhering to updated data protection regulations,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execute comprehensive testing scenarios, ensuring feature robustness and quality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sessions focusing on full-stack development principles, enriching knowledge and flexibility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performance metrics tracking, establishing benchmarks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health monitoring and analysis.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