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over 8 years of experience in developing scalable, high-performance applications in diverse environments. Proficient in full-stack development, specializing in security-driven solutions that enhance performance and ensure compliance. Adept at leveraging cutting-edge technologies to drive innovation and business success, particularly in IT consulting. Passionate about mentoring junior developers and enhancing team productivity through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HTML5, CSS3,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Flask, GraphQL,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gRPC, Service Mesh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robust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efficient state management and optimized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deployment speed by 40% and facilitated horizontal scaling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adhered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protocols for secure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6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sprint delivery meets by 15%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cache database queries, reducing load times from 150ms to under 50ms.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that 95% of code was covered, significantly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frequency from weekly to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deliver a high-traffic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that improved response time by at least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incident resolution time from 4 hours to under 1 hour.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reviews, incorporating feedback loops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collaborative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successful migration of legacy systems to a microservices architecture which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database optimization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led to a 50% increase in query performance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3-tier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API, ensuring scalability while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various cloud service providers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transitioning services that resulted in improved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security protocols ensuring compliance with industry standards, which mitigated potential vulnerabilities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90% test coverage and maintaining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collaboration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build and maintain robust applications, facilitating bi-weekly sprints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documented best practices for application security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data retrieval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continuous learning sessions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knowledge transfer 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user-friendly interfaces and robust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elements on websites, enhancing user experience via responsive layouts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system architecture that influenced the tech stack decision-making process by suggesting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in the development of the next generation API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CI/CD principles to streamline deployment processes, working closely with development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best practices in software design patterns, elevating code maintainability across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