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delivering innovative software solutions within IT consulting. Proficient in a variety of programming languages, frameworks, and databases. Experienced in leading cross-functional teams to achieve project goals and enhance system performance. Proven track record of developing scalable applications and implementing best practices in agile environments. Looking to leverage my diverse skill set to contribute to FSastore.com’s commitment to excellence in e-commerce.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RESTful Services, MVC Pattern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Redis, Elasticsearch, TypeScript,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transaction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reducing roll-back incidents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 and improving system resiliency with services like EC2 and S3.</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mobile applications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interchange and user-friendly experiences for 10,000+ daily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type-checking while implementing dynamic web applications, reducing runtime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integrate responsive designs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resulting in improved team velocities and on-time delivery of 95%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ensuring maintainability for over 250,000 lines of project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tracked progress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transparency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junior developers, mentoring them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their successful contributions to major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management, improving application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increasing code coverage to 90%, ensuring robustness in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enhancing availability and scalability for users across different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data science team to analyze usage metrics via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product improvements based on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integrating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downtime and improved service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management to define technical requirements for new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resulting in more efficient project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rigorous quality control in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enhance system design principles focusing on performance and scalability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pipelines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data access and processing for end-user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workflows and decrease lead times for feature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business intelligence dashboards built with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decision-making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Consistently delivered high-quality support for complex technical challenges, resulting in improved client satisfaction and retention.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identity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user authentication processes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optimizing existing systems using Python scripts, improving performance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analysis of client needs, translating them into technical specifications for custom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enhancements across web applications, ensuring compliance with industry standards and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administration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optimal performance and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transitioning clients to cloud infrastructure, achieving a 20% cost reduction in IT expenditures.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client-facing projects, ensuring deliverables met rigorous quality and responsiveness standards through thorough testing and iteration.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