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application design and software development, focusing on advanced solutions for the government and defense sector. Proficient in cloud computing, back-end architectures, and agile methodologies, backed by a strong technical foundation in Python and Docker. Adept at leading teams and projects that drive mission success through innovative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Perl,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RabbitMQ,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large-scale defense application,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development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data-driven applications that improved operational efficiency for intelligence collection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that supported 99.99% uptime for critical systems,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web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and back-end systems for user-centric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 and provisioning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database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load time improvements of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processes, reducing release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promoting best coding practices and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security measures and compliance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handling sensitive government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in mission-critical scenarios, significantly improving data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modern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legacy systems to enhance user interface and experience, leading to a 25%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technical documentation for system architecture and deployment processes to ensure clarity and facilitate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 in distributed systems, improving the robustness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advanced debugging and troubleshooting techniques on complex systems, reducing resolution time for critical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high-quality deliverables that meet project milestones and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containerization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portability and reducing environment-related issues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federal clients to gather requirements and translate them into technical specifications for implementation in areas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storage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access patterns and redundancy for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software quality and reliability throughout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provided feedback to peers, emphasizing the importance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 in software development around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management activities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aiding in sprint planning and retrospective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development tools to suggest improvements and innovations in existing project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data protection for government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streamlining the operational workflow for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Caught and tracked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collaboration platforms, enhancing product quality and reducing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engaging applications leveraging front-end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with maintenance work focusing on optimizing performance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workshops to promote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junior team members and cross-functional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client-facing documentation and provided technical support during product demonstrations to further stakeholder understanding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knowledge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resource access for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