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full-stack development, specializing in scalable architecture design and microservices. Proficient in Python, Angular, and cloud technologies, committed to delivering high-quality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Angular,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Snowflake, 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GitLab, AWS, Terraform, Ansible, HashiCorp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Ghost Inspector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OOP, Functional Programming,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service-based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across all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productivity by 30% by automating various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blue/green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and ensuring seamless application updates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infrastructure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conducted continuous integration practices to maintain code quality across all services, achieving a 95% code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server provisioning and configuration management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advanced ORM techniques to ensure efficient database interactions for the backend services, enhancing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promoting knowledge sharing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architectural discussions with cross-functional teams, aligning technology choices with business objectives and improving product roadmap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management of application secrets, leading to a 40% increase in application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production monitoring strategies using tools that improved service performance and reduced incident resolution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meetings in an agile environment to streamline development workflows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new features, enabling easier onboarding for future developers and ensuring robustness in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evaluation and integration of new technologies into the software stack to enhance overall product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performance for high-volume transactions in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and implement microservices architecture, ensuring seamless integration with existing legacy systems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unit testing practices focused on building reliable applications by leveraging various testing frameworks achieving a robust code quality index.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advanced indexing strategies which improved application response times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Docker Containers for different microservices, ensuring consistent environments across all execution stages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foster a collaborative environment for engineers and product owners, pushing for iterative development cycles that enhance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clear API documentation for internal services to ensure seamless collaboration and integration across different teams, enhancing overall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functionalities to enhance user experience through advanced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scripting and 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 performance for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analysis and architectural reviews, advocating for best practices in software development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legacy systems to modern frameworks,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flow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systems, ensuring best practices in data integrity and security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while utilizing modern ORM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CI/CD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reduction in deployment timeframes and human error.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