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scalable applications and leading projects within high-tech environments. Proven track record of utilizing advanced technologies to deliver high-performance code and innovative solutions that align with business objectives. Strong expertise in modern frameworks and practices with a solid foundation in IT consulting, adhering to best practices to enhance efficiency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Swagger,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IntelliJ IDEA, Xcode, Figma, Jupyter Notebook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 by 25% through optimized code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create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and web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authorization, while maintaining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speed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within the team, leading to a 20% increase in code quality as measured by automated testing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enhancing retrieval speeds and reducing infrastructure costs by 15% through optimized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caching strategies that improved application performance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querying, reducing the number of network requests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migration strategy from monolithic architecture to microservices, enabling better scalability and maintainability of applications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of project goals and progress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vulnerability assessments and implementing best practices, resulting in zero security incidents reported in production systems for two consecutive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dynamic and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cohesive look and feel across applications while also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design discussions and architectural reviews to ensure best practices are followed, directly contributing to multiple award-winning products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data analysis and visualization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insights from application performance data, leading to data-driven decision-making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backend integration and data retrieval, with a focus on optimizing performance under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communication between disparate systems while maintaining data integrity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drive project execution and deliver high-quality software on tight deadlines, coordinating tasks among cross-functional teams to maximize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testing efficiency by reducing manual testing effort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convert them into technical specifications, enhancing project scope clarity and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query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that improved database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mobile and web projects by implementing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features,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code management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secure data transmission protocols for user account management within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reduce production bugs by 30%, contributing to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refactoring of legacy codebases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maintainability and reducing technical debt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that caters to varying device specifications and user accessibility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testing strategies, resulting in reduced bugs in production by actively incorporating feedback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team member to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integrity and high-performance communication protocols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schema design and indexing to optimize query performance for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cloud-native architecture, ensuring alignment with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