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scalable systems and applications using Python and React. Demonstrated expertise in Generative AI, open-source contributions, and leveraging cutting-edge technologies to enhance AI creativity and functionality. Passionate about collaboration and driving project success in high-growth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ComfyUI, Stable Diffusion,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Model inference, CUDA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Loki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Community PRs, RFCs, OSS Contributions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 by 40% for complex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for application deployment, reducing setup time by 25% and streamlining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Infrastructure as Code (IaC) and CI/CD pipelines, effectively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ComfyUI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graphs, significantly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Stable Diffusion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plug-in ecosystem’s performance and scalability for AI model presets.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inference times, improving the overall efficiency of generative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contributed to community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open-source projects, enhancing code quality and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bottlenecks in existing systems, leveraging profiling tools to ensure optimal resource utilization and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telemetry tracking for real-time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issue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shipped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Tauri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simplified user interfaces for accessing generative AI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orchestrated cloud GPU instances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job scheduling and scaling based on workload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fostering knowledge sharing and adherence to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RFCs for new features, aligning expectations across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ensuring iterative progress through sprints and regular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that improved data accessibility for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automating workflows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ECS for container orchestration, significantly improving application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generative AI projects, integrating custom model presets and features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Stable Diffusion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knowledge sharing around machine learning and AI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infrastructure tools for managing multi-cloud environments,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critical insights that informed system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key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robust security for distributed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machine learning preparation.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for user management and analytic services,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and troubleshooting of existing codebases, focusing on improving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optimizations that reduced load times by over 30% through strategic refactoring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software development practices, contributing to sprint planning, backlog grooming,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functionality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drive project milestones, balancing timelines and technical requirements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