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track record of delivering innovative software solutions in high-paced environments. Proficient in building scalable applications using modern frameworks and optimizing backend processes. Expertise in integrating real-time collaboration features and ensuring robust application performance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New Relic, Sentry,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CI/CD,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across projects with a focus on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launched high-performance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optimizing application load times by 40% with improved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create real-time collaboration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interactions in asynchronous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optimizations that reduced server costs by 30% and improved deployment speeds with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decreasing time-to-market for new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protocols across multiple services, ensuring data privacy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benchmarking for various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areas for optimization which improved system stability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and responsive design across web and mobile applications while aligning with user experience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project documentation and facilitating knowledge sharing across the engineering team, which improved code quality and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reducing critical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bottlenecks and enhancing overall system resilience and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scrums, contributing to sprint planning and retrospectives which increased team productivity and delivery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 culture of learning and knowledge sharing, which improved junior team's deployment competency and increased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data retrieval speeds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overhead and increasing service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to enhance code quality and knowledge sharing within the team, fostering an agile development culture and improving onboarding processes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identification of edge cases prior to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processes, improving client application performance and user experience while minimizing network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design and implement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contributing to a unified code base that streamlined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deployment of applications with minimal downtime and improved code quality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insights and recommendations for optimizing code and eliminating technical debt, which improved overall project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intuitive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complex data structures while ensuring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frontend development for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 architecture and reusable design patterns to accelerate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troubleshooting and problem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team communication, ensuring critical issues were addressed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for transitioning from on-premise solutions to cloud-based infrastructure, minimizing service interruptions during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client meetings to gather requirements and provide technical insights that shaped the development lifecycle for custom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best coding practices and system architectures, ensuring thorough onboarding and alignment on project goals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client applications, enhancing user engagement through live updates and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