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building, and maintaining secure software systems. Proven track record in collaborating with cross-functional teams to implement high-impact features and optimize user experiences. Adept at leveraging a wide range of technologies and frameworks, including C#, .NET, and React, to drive the development of innovative solutions that address complex challenges in cybersecurity and fraud prevention.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ASP.NET,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Microservices,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Encryption, Multi-Factor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user-centric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intuitive interfaces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overhaul of a monolithic application into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deployability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processes, which reduced time-to-production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software requirements, ensuring alignment with organizational goals and industry best practices in cybersecurity.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to enhance the functionality of software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design patterns,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CSS management in front-end applications, improving maintainability and performance of stylesheets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speed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code quality and adherence to security standards, contributing to an overall defect reduction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tuning and issue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feedback and drive iterative software improvements, ensuring high customer satisfaction and product relevance in real estate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 to architect secure interfaces for fraud detection, aligning technical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development standards around secure coding practices to mitigate risks associated with cyber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application responsiveness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that enhanced data communication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solution design meetings, collaborating with stakeholders to align technical capabilities with business needs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continuous integration and delivery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builds and deployments, resulting in reduced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create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refined and user-friendly application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performance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queries and enhance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technical insights and ensuring that development processes remained aligned with sprint goals and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client portals.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processes to improve readability and maintainability, focusing heavily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teams to assess and mitigate risks associated with software deployed in production, focusing on security compliance and vulnerability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optimizing cloud configurations for cost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documentation for internal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transparency and usability for future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