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delivering high-quality software solutions in fast-paced environments. Specialized in building scalable applications using modern frameworks and best practices, with a strong foundation in object-oriented programming, API design, and agile methodologies. Adept at collaborating with cross-functional teams to drive technical solutions that align with business goals, ensuring seamless user experiences. Passionate about mentoring junior developers and advocating for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Agile, Scrum,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integration between front-end and back-end services, ensuring adherence to security protocols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project progress and deliver features on time, resulting in customer satisfaction ratings exceeding 95%.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single-page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implementing responsive designs and optimizing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including complex queries and data migrations, achieving a 30% reduction in query execution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code quality and reducing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design patterns, fostering a culture of learning and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refactoring exercises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maintainability and adherence to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discussions, contributing insights on technology stack choices that aligned with business requirements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decrease in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90% code coverage and increasing confidence in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for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knowledge transfer and continuity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 initiative to migrate legacy systems to modern frameworks,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revamp user interfaces and improve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models and optimized database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significant increase in data retrieval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mobile accessibility to improve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integrations with third-party services, enhancing functionality and user experience,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iterate on wireframes and prototypes,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design mockups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testing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enablement of team collaboration, managing feature branches and pull requests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development environments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consistency across different phases of the software development life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optimization strategies on existing applications, improving load times and reducing latency by up to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relational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implementing security measures against SQL injection attacks.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meetings, providing progress updates and assisting the team in identifying bottlenecks in the development process.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 and reporting, leading to a 20% increase in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seamless communication between applications, focusing on performance tuning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web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front-end interfaces were intuitive and user-friendly.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configuration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deployment processes and reducing manual interventions.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application issues,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 integrity of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consistently advocating for clean code practices and knowledge sharing among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project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and accessibility for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new team members on project-specific technologies and tools, fostering an inclusive and supportive learning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