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proven track record in architecting scalable applications and implementing complex backend systems. Leveraging extensive experience in full lifecycle application development, I have successfully designed, developed, and deployed high-performance, secure financial applications. My technical acumen spans a wide array of modern programming languages, frameworks, and cloud technologies, solidifying my role as a key innovator and team leader within dynamic software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Integration/Delivery: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distributed microservices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real-time data processing for high-frequency trading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transactional efficiency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query performance, resulting in a 30% reduction in latency during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 with third-party financial services and increasing client onboarding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build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and managing resources, significantly lowering operational costs while scaling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coding standards that improved code maintainability and reduced bugs by 20%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deployment of containerized applications, enhancing system reliability and facilitating auto-scaling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achieving a 45% increase in application response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application performance based on user feedback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practices within the development team, improving project turnaround times and fostering a culture of adaptive planning and iterative progress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uptime to 99.99% while minimizing operational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emphasizing best practices in test-driven development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onboarding junior developers into a robust development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advanced concepts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expertise and fostering knowledge-sharing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web applications for efficient data handling and retrieval, increasing overall data accuracy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major project to enhance cloud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policies, significantly improving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more than 90% test coverage and reducing deployment failures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team, participating in sprints and daily stand-ups, enhancing communication and project alignment across multidisciplinary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version management while handling multiple feature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onboarding experiences for new developers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knowledge bases and documented best practices for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local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migration efforts by developing scripts for data transfer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efforts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resolution of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focused on enhancing coding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configurations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storage regulations and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detailing system architectures and workflows, aiding in project clarity and team orientation.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small client-facing projects, ensuring timely delivery and adherence to customer specifications, bolstered by regular client communications.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