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development, specializing in building scalable web applications and data-driven platforms. Adept at leveraging cutting-edge technologies to deliver high-quality solutions and enhance user experiences. Proven expertise in collaborating with cross-functional teams and translating business requirements into technical specifications, aiming to raise efficiency and performance across the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JUnit,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enhanced user engagement by 30% through efficient data fetching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backend operations, improving scalability and reducing server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increased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transmission in a multi-tenant environment, achieving seamless updates without any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by 40%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scalable database schemas and executed complex queries, enhancing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CI/CD pipeline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leading to 50%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aided in proactive issue resolution and reduced incident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 and improve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efforts from monolithic applications to microservices architecture, resulting in improved application maintainability and clarity in team responsibilities.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and workshops for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coding practices, fostering a culture of shared responsibility.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documentation outlining API usage and architectural frameworks which enhanced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to refine workflows and establish performance metrics, contributing to a more agile and adaptive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compliance with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optimize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resulting in a 30%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transactions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minimize bugs during software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security measures to safeguard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to promote transparency and encourage quick iterations, while adjusting project scope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rich user interfaces and dynamic data binding.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architectural discussions to champion the adoption of cloud solutions enhancing overall project viability.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enhancing web accessibility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security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technical debt and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integrating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functionality in client applications, ensuring higher reliability and robustness of the overall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testing and debugging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QA process and identifying critical bottlenecks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frontend team by creating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component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the development lifecycle, ensuring a streamlined process for collaboration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documenting and presenting project findings at team reviews to facilitate knowledge sharing and improve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